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6884"/>
          <w:sz w:val="19"/>
        </w:rPr>
        <w:t>MODIFIABLE REQUEST FOR PROPOSALS (RFP) TEMPLATE  |  VNA-RFP-003</w:t>
      </w:r>
    </w:p>
    <w:p>
      <w:pPr>
        <w:pStyle w:val="Heading1"/>
      </w:pPr>
      <w:r>
        <w:rPr>
          <w:color w:val="1B262B"/>
        </w:rPr>
        <w:t>Request for Proposals (RFP): Oracle Forms Modernization: Convert Oracle Forms &amp; Reports (.fmb / .rdf) to APEX 24.2</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006884"/>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82830"/>
          </w:tcPr>
          <w:p>
            <w:r>
              <w:rPr>
                <w:b/>
                <w:color w:val="FFFFFF"/>
                <w:sz w:val="19"/>
              </w:rPr>
              <w:t>Procurement Milestone / Field</w:t>
            </w:r>
          </w:p>
        </w:tc>
        <w:tc>
          <w:tcPr>
            <w:tcW w:type="dxa" w:w="5040"/>
            <w:shd w:val="clear" w:color="auto" w:fill="182830"/>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VNA-RFP-003 (Companion to Solution Brief VNA-SB-003)</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Oracle Forms &amp; Reports 6i / 10g / 11g / 12c (.fmb, .mmb, .pll, .rdf) environment to Oracle APEX 24.2, ORDS, PL/SQL Packages, AOP &amp; AMP.</w:t>
      </w:r>
    </w:p>
    <w:p>
      <w:pPr>
        <w:pStyle w:val="ListBullet"/>
      </w:pPr>
      <w:r>
        <w:t>Running Oracle Forms 6i, 10g, 11g, or 12c requires maintaining heavyweight Oracle WebLogic Server clusters, Forms Standalone Launcher (FSAL) client configurations, and legacy Java runtimes across thousands of workstations.</w:t>
      </w:r>
    </w:p>
    <w:p>
      <w:pPr>
        <w:pStyle w:val="ListBullet"/>
      </w:pPr>
      <w:r>
        <w:t>Simply running a naive 1:1 screen converter produces unusable web pages because Oracle Forms is stateful (firing WHEN-VALIDATE-ITEM and POST-QUERY triggers synchronously over persistent database sessions), whereas modern web apps are stateless.</w:t>
      </w:r>
    </w:p>
    <w:p>
      <w:pPr>
        <w:pStyle w:val="ListBullet"/>
      </w:pPr>
      <w:r>
        <w:t>Hundreds of business rules are hidden inside .fmb form-level triggers and .pll attached PL/SQL libraries rather than centralized in database packages.</w:t>
      </w:r>
    </w:p>
    <w:p>
      <w:pPr>
        <w:pStyle w:val="Heading2"/>
      </w:pPr>
      <w:r>
        <w:rPr>
          <w:color w:val="006884"/>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006884"/>
          </w:tcPr>
          <w:p>
            <w:r>
              <w:rPr>
                <w:b/>
                <w:color w:val="FFFFFF"/>
                <w:sz w:val="19"/>
              </w:rPr>
              <w:t>Inventory Dimension</w:t>
            </w:r>
          </w:p>
        </w:tc>
        <w:tc>
          <w:tcPr>
            <w:tcW w:type="dxa" w:w="3360"/>
            <w:shd w:val="clear" w:color="auto" w:fill="006884"/>
          </w:tcPr>
          <w:p>
            <w:r>
              <w:rPr>
                <w:b/>
                <w:color w:val="FFFFFF"/>
                <w:sz w:val="19"/>
              </w:rPr>
              <w:t>Current Baseline Footprint (Editable)</w:t>
            </w:r>
          </w:p>
        </w:tc>
        <w:tc>
          <w:tcPr>
            <w:tcW w:type="dxa" w:w="3360"/>
            <w:shd w:val="clear" w:color="auto" w:fill="006884"/>
          </w:tcPr>
          <w:p>
            <w:r>
              <w:rPr>
                <w:b/>
                <w:color w:val="FFFFFF"/>
                <w:sz w:val="19"/>
              </w:rPr>
              <w:t>Target Modernization SLA / Objective</w:t>
            </w:r>
          </w:p>
        </w:tc>
      </w:tr>
      <w:tr>
        <w:tc>
          <w:tcPr>
            <w:tcW w:type="dxa" w:w="3360"/>
          </w:tcPr>
          <w:p>
            <w:r>
              <w:rPr>
                <w:b/>
              </w:rPr>
              <w:t>Legacy Source Stack (Stack X)</w:t>
            </w:r>
          </w:p>
        </w:tc>
        <w:tc>
          <w:tcPr>
            <w:tcW w:type="dxa" w:w="3360"/>
          </w:tcPr>
          <w:p>
            <w:r>
              <w:t>Oracle Forms &amp; Reports 6i / 10g / 11g / 12c (.fmb, .mmb, .pll, .rdf)</w:t>
            </w:r>
          </w:p>
        </w:tc>
        <w:tc>
          <w:tcPr>
            <w:tcW w:type="dxa" w:w="3360"/>
          </w:tcPr>
          <w:p>
            <w:r>
              <w:t>Full retirement / modernization</w:t>
            </w:r>
          </w:p>
        </w:tc>
      </w:tr>
      <w:tr>
        <w:tc>
          <w:tcPr>
            <w:tcW w:type="dxa" w:w="3360"/>
          </w:tcPr>
          <w:p>
            <w:r>
              <w:rPr>
                <w:b/>
              </w:rPr>
              <w:t>Target Architecture (Stack Y)</w:t>
            </w:r>
          </w:p>
        </w:tc>
        <w:tc>
          <w:tcPr>
            <w:tcW w:type="dxa" w:w="3360"/>
          </w:tcPr>
          <w:p>
            <w:r>
              <w:t>Oracle APEX 24.2, ORDS, PL/SQL Packages, AOP &amp; AMP</w:t>
            </w:r>
          </w:p>
        </w:tc>
        <w:tc>
          <w:tcPr>
            <w:tcW w:type="dxa" w:w="3360"/>
          </w:tcPr>
          <w:p>
            <w:r>
              <w:t>Production HA/DR &amp; security governance</w:t>
            </w:r>
          </w:p>
        </w:tc>
      </w:tr>
      <w:tr>
        <w:tc>
          <w:tcPr>
            <w:tcW w:type="dxa" w:w="3360"/>
          </w:tcPr>
          <w:p>
            <w:r>
              <w:rPr>
                <w:b/>
              </w:rPr>
              <w:t>Oracle Forms Modules (.fmb / .pll)</w:t>
            </w:r>
          </w:p>
        </w:tc>
        <w:tc>
          <w:tcPr>
            <w:tcW w:type="dxa" w:w="3360"/>
          </w:tcPr>
          <w:p>
            <w:r>
              <w:t>[Insert Count, e.g., 300 Forms]</w:t>
            </w:r>
          </w:p>
        </w:tc>
        <w:tc>
          <w:tcPr>
            <w:tcW w:type="dxa" w:w="3360"/>
          </w:tcPr>
          <w:p>
            <w:r>
              <w:t>100% functional parity &amp; optimization</w:t>
            </w:r>
          </w:p>
        </w:tc>
      </w:tr>
      <w:tr>
        <w:tc>
          <w:tcPr>
            <w:tcW w:type="dxa" w:w="3360"/>
          </w:tcPr>
          <w:p>
            <w:r>
              <w:rPr>
                <w:b/>
              </w:rPr>
              <w:t>Oracle Reports (.rdf / BI Publisher)</w:t>
            </w:r>
          </w:p>
        </w:tc>
        <w:tc>
          <w:tcPr>
            <w:tcW w:type="dxa" w:w="3360"/>
          </w:tcPr>
          <w:p>
            <w:r>
              <w:t>[Insert Count, e.g., 160 Reports]</w:t>
            </w:r>
          </w:p>
        </w:tc>
        <w:tc>
          <w:tcPr>
            <w:tcW w:type="dxa" w:w="3360"/>
          </w:tcPr>
          <w:p>
            <w:r>
              <w:t>Automated AST &amp; schema uplift</w:t>
            </w:r>
          </w:p>
        </w:tc>
      </w:tr>
      <w:tr>
        <w:tc>
          <w:tcPr>
            <w:tcW w:type="dxa" w:w="3360"/>
          </w:tcPr>
          <w:p>
            <w:r>
              <w:rPr>
                <w:b/>
              </w:rPr>
              <w:t>Report Query Fan-Out Rationalization (Core SQL Only; WHERE/Filters Built at Runtime/Inference)</w:t>
            </w:r>
          </w:p>
        </w:tc>
        <w:tc>
          <w:tcPr>
            <w:tcW w:type="dxa" w:w="3360"/>
          </w:tcPr>
          <w:p>
            <w:r>
              <w:t>[Insert Count, e.g., 80 % fan-out reduction]</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006884"/>
        </w:rPr>
        <w:t>Section 3: Mandatory Technical Scope of Work &amp; Conversion Matrix</w:t>
      </w:r>
    </w:p>
    <w:p>
      <w:pPr>
        <w:pStyle w:val="ListNumber"/>
      </w:pPr>
      <w:r>
        <w:rPr>
          <w:b/>
        </w:rPr>
        <w:t xml:space="preserve">[REQ-ARCH-01] </w:t>
      </w:r>
      <w:r>
        <w:t>Automated FMB/MMB/PLL/RDF XML &amp; AST Analyzer: Using our dedicated FMB Conversion Tool VM and frmf2xml parser, we convert binary .fmb, .mmb, .pll, and .rdf files into structured AST repositories, cataloging every trigger, program unit, LOV, alert, and canvas.</w:t>
      </w:r>
    </w:p>
    <w:p>
      <w:pPr>
        <w:pStyle w:val="ListNumber"/>
      </w:pPr>
      <w:r>
        <w:rPr>
          <w:b/>
        </w:rPr>
        <w:t xml:space="preserve">[REQ-ARCH-02] </w:t>
      </w:r>
      <w:r>
        <w:t>Trigger Rationalization &amp; Stateful-to-Stateless Refactoring: Chatty UI triggers (POST-QUERY, WHEN-NEW-FORM-INSTANCE, KEY-NEXT-ITEM) are refactored into set-based SQL views, APEX Computations, and Dynamic Actions. Business logic in Program Units and .pll files is promoted into versioned Database PL/SQL Packages.</w:t>
      </w:r>
    </w:p>
    <w:p>
      <w:pPr>
        <w:pStyle w:val="ListNumber"/>
      </w:pPr>
      <w:r>
        <w:rPr>
          <w:b/>
        </w:rPr>
        <w:t xml:space="preserve">[REQ-ARCH-03] </w:t>
      </w:r>
      <w:r>
        <w:t>Canvas &amp; Multi-Block Modernization: Master-detail Forms blocks and stacked canvases are consolidated into clean Universal Theme 42 APEX pages using Interactive Grids, Faceted Search, and Modal Dialogs that preserve keyboard-first data entry speed for power users.</w:t>
      </w:r>
    </w:p>
    <w:p>
      <w:pPr>
        <w:pStyle w:val="ListNumber"/>
      </w:pPr>
      <w:r>
        <w:rPr>
          <w:b/>
        </w:rPr>
        <w:t xml:space="preserve">[REQ-ARCH-04] </w:t>
      </w:r>
      <w:r>
        <w:t>Oracle Reports (.rdf) to AOP / BI Publisher: Legacy .rdf reports and Lexical Parameters are converted to APEX Interactive Reports for self-service slicing and APEX Office Print (AOP) or BI Publisher for pixel-perfect PDF/Excel output.</w:t>
      </w:r>
    </w:p>
    <w:p>
      <w:pPr>
        <w:pStyle w:val="ListNumber"/>
      </w:pPr>
      <w:r>
        <w:rPr>
          <w:b/>
        </w:rPr>
        <w:t xml:space="preserve">[REQ-ARCH-05] </w:t>
      </w:r>
      <w:r>
        <w:t>Query Fan-Out Rationalization &amp; Runtime/Inference Filtering: Instead of migrating cloned reports and DataWindows 1-for-1, our AST SQL parser clusters queries by their canonical core JOIN graph, builds governed Oracle 23ai views only for those core queries, and generates dynamic WHERE clauses, faceted filters, and ad-hoc report variations at runtime and via AI inference (APEX 24.2 Smart Filters &amp; Select AI).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82830"/>
          </w:tcPr>
          <w:p>
            <w:r>
              <w:rPr>
                <w:b/>
                <w:color w:val="FFFFFF"/>
                <w:sz w:val="19"/>
              </w:rPr>
              <w:t>Req ID</w:t>
            </w:r>
          </w:p>
        </w:tc>
        <w:tc>
          <w:tcPr>
            <w:tcW w:type="dxa" w:w="2520"/>
            <w:shd w:val="clear" w:color="auto" w:fill="182830"/>
          </w:tcPr>
          <w:p>
            <w:r>
              <w:rPr>
                <w:b/>
                <w:color w:val="FFFFFF"/>
                <w:sz w:val="19"/>
              </w:rPr>
              <w:t>Legacy Artifact / Baseline Workload</w:t>
            </w:r>
          </w:p>
        </w:tc>
        <w:tc>
          <w:tcPr>
            <w:tcW w:type="dxa" w:w="2520"/>
            <w:shd w:val="clear" w:color="auto" w:fill="182830"/>
          </w:tcPr>
          <w:p>
            <w:r>
              <w:rPr>
                <w:b/>
                <w:color w:val="FFFFFF"/>
                <w:sz w:val="19"/>
              </w:rPr>
              <w:t>Required Target Architecture</w:t>
            </w:r>
          </w:p>
        </w:tc>
        <w:tc>
          <w:tcPr>
            <w:tcW w:type="dxa" w:w="2520"/>
            <w:shd w:val="clear" w:color="auto" w:fill="182830"/>
          </w:tcPr>
          <w:p>
            <w:r>
              <w:rPr>
                <w:b/>
                <w:color w:val="FFFFFF"/>
                <w:sz w:val="19"/>
              </w:rPr>
              <w:t>Engineering Method &amp; Acceptance Gate</w:t>
            </w:r>
          </w:p>
        </w:tc>
      </w:tr>
      <w:tr>
        <w:tc>
          <w:tcPr>
            <w:tcW w:type="dxa" w:w="2520"/>
          </w:tcPr>
          <w:p>
            <w:r>
              <w:rPr>
                <w:b/>
              </w:rPr>
              <w:t>REQ-01</w:t>
            </w:r>
          </w:p>
        </w:tc>
        <w:tc>
          <w:tcPr>
            <w:tcW w:type="dxa" w:w="2520"/>
          </w:tcPr>
          <w:p>
            <w:r>
              <w:t>Forms Base-Table Data Block (.fmb)</w:t>
            </w:r>
          </w:p>
        </w:tc>
        <w:tc>
          <w:tcPr>
            <w:tcW w:type="dxa" w:w="2520"/>
          </w:tcPr>
          <w:p>
            <w:r>
              <w:t>APEX 24.2 Interactive Grid / Form Region</w:t>
            </w:r>
          </w:p>
        </w:tc>
        <w:tc>
          <w:tcPr>
            <w:tcW w:type="dxa" w:w="2520"/>
          </w:tcPr>
          <w:p>
            <w:r>
              <w:t>Automated Block-to-Region Mapping + Optimistic Locking</w:t>
            </w:r>
          </w:p>
        </w:tc>
      </w:tr>
      <w:tr>
        <w:tc>
          <w:tcPr>
            <w:tcW w:type="dxa" w:w="2520"/>
          </w:tcPr>
          <w:p>
            <w:r>
              <w:rPr>
                <w:b/>
              </w:rPr>
              <w:t>REQ-02</w:t>
            </w:r>
          </w:p>
        </w:tc>
        <w:tc>
          <w:tcPr>
            <w:tcW w:type="dxa" w:w="2520"/>
          </w:tcPr>
          <w:p>
            <w:r>
              <w:t>Attached PL/SQL Libraries (.pll) &amp; Program Units</w:t>
            </w:r>
          </w:p>
        </w:tc>
        <w:tc>
          <w:tcPr>
            <w:tcW w:type="dxa" w:w="2520"/>
          </w:tcPr>
          <w:p>
            <w:r>
              <w:t>Database PL/SQL Packages + APEX Application Processes</w:t>
            </w:r>
          </w:p>
        </w:tc>
        <w:tc>
          <w:tcPr>
            <w:tcW w:type="dxa" w:w="2520"/>
          </w:tcPr>
          <w:p>
            <w:r>
              <w:t>Automated Package Extraction &amp; Global Variable Refactoring</w:t>
            </w:r>
          </w:p>
        </w:tc>
      </w:tr>
      <w:tr>
        <w:tc>
          <w:tcPr>
            <w:tcW w:type="dxa" w:w="2520"/>
          </w:tcPr>
          <w:p>
            <w:r>
              <w:rPr>
                <w:b/>
              </w:rPr>
              <w:t>REQ-03</w:t>
            </w:r>
          </w:p>
        </w:tc>
        <w:tc>
          <w:tcPr>
            <w:tcW w:type="dxa" w:w="2520"/>
          </w:tcPr>
          <w:p>
            <w:r>
              <w:t>WHEN-VALIDATE-ITEM / WHEN-VALIDATE-RECORD</w:t>
            </w:r>
          </w:p>
        </w:tc>
        <w:tc>
          <w:tcPr>
            <w:tcW w:type="dxa" w:w="2520"/>
          </w:tcPr>
          <w:p>
            <w:r>
              <w:t>APEX Server-Side Validations + PL/SQL Package Calls</w:t>
            </w:r>
          </w:p>
        </w:tc>
        <w:tc>
          <w:tcPr>
            <w:tcW w:type="dxa" w:w="2520"/>
          </w:tcPr>
          <w:p>
            <w:r>
              <w:t>Stateless Validation Pushdown</w:t>
            </w:r>
          </w:p>
        </w:tc>
      </w:tr>
      <w:tr>
        <w:tc>
          <w:tcPr>
            <w:tcW w:type="dxa" w:w="2520"/>
          </w:tcPr>
          <w:p>
            <w:r>
              <w:rPr>
                <w:b/>
              </w:rPr>
              <w:t>REQ-04</w:t>
            </w:r>
          </w:p>
        </w:tc>
        <w:tc>
          <w:tcPr>
            <w:tcW w:type="dxa" w:w="2520"/>
          </w:tcPr>
          <w:p>
            <w:r>
              <w:t>POST-QUERY Lookup Triggers</w:t>
            </w:r>
          </w:p>
        </w:tc>
        <w:tc>
          <w:tcPr>
            <w:tcW w:type="dxa" w:w="2520"/>
          </w:tcPr>
          <w:p>
            <w:r>
              <w:t>Set-Based SQL Joins / Shared LOVs (Zero N+1 Queries)</w:t>
            </w:r>
          </w:p>
        </w:tc>
        <w:tc>
          <w:tcPr>
            <w:tcW w:type="dxa" w:w="2520"/>
          </w:tcPr>
          <w:p>
            <w:r>
              <w:t>Query Optimizer Rewrite (10x-50x Faster Grid Loads)</w:t>
            </w:r>
          </w:p>
        </w:tc>
      </w:tr>
      <w:tr>
        <w:tc>
          <w:tcPr>
            <w:tcW w:type="dxa" w:w="2520"/>
          </w:tcPr>
          <w:p>
            <w:r>
              <w:rPr>
                <w:b/>
              </w:rPr>
              <w:t>REQ-05</w:t>
            </w:r>
          </w:p>
        </w:tc>
        <w:tc>
          <w:tcPr>
            <w:tcW w:type="dxa" w:w="2520"/>
          </w:tcPr>
          <w:p>
            <w:r>
              <w:t>Menu Modules (.mmb) &amp; Role Security</w:t>
            </w:r>
          </w:p>
        </w:tc>
        <w:tc>
          <w:tcPr>
            <w:tcW w:type="dxa" w:w="2520"/>
          </w:tcPr>
          <w:p>
            <w:r>
              <w:t>APEX Navigation Menu + AMP Authorization Schemes</w:t>
            </w:r>
          </w:p>
        </w:tc>
        <w:tc>
          <w:tcPr>
            <w:tcW w:type="dxa" w:w="2520"/>
          </w:tcPr>
          <w:p>
            <w:r>
              <w:t>Centralized RBAC &amp; SSO Integration</w:t>
            </w:r>
          </w:p>
        </w:tc>
      </w:tr>
      <w:tr>
        <w:tc>
          <w:tcPr>
            <w:tcW w:type="dxa" w:w="2520"/>
          </w:tcPr>
          <w:p>
            <w:r>
              <w:rPr>
                <w:b/>
              </w:rPr>
              <w:t>REQ-06</w:t>
            </w:r>
          </w:p>
        </w:tc>
        <w:tc>
          <w:tcPr>
            <w:tcW w:type="dxa" w:w="2520"/>
          </w:tcPr>
          <w:p>
            <w:r>
              <w:t>Oracle Reports (.rdf) &amp; After-Report Triggers</w:t>
            </w:r>
          </w:p>
        </w:tc>
        <w:tc>
          <w:tcPr>
            <w:tcW w:type="dxa" w:w="2520"/>
          </w:tcPr>
          <w:p>
            <w:r>
              <w:t>APEX Interactive Reports + APEX Office Print (AOP)</w:t>
            </w:r>
          </w:p>
        </w:tc>
        <w:tc>
          <w:tcPr>
            <w:tcW w:type="dxa" w:w="2520"/>
          </w:tcPr>
          <w:p>
            <w:r>
              <w:t>SQL Extraction + Word/Excel/PDF Template Binding</w:t>
            </w:r>
          </w:p>
        </w:tc>
      </w:tr>
      <w:tr>
        <w:tc>
          <w:tcPr>
            <w:tcW w:type="dxa" w:w="2520"/>
          </w:tcPr>
          <w:p>
            <w:r>
              <w:rPr>
                <w:b/>
              </w:rPr>
              <w:t>REQ-07</w:t>
            </w:r>
          </w:p>
        </w:tc>
        <w:tc>
          <w:tcPr>
            <w:tcW w:type="dxa" w:w="2520"/>
          </w:tcPr>
          <w:p>
            <w:r>
              <w:t>Cloned Reports / Queries Differing Only by WHERE Clause or Group-By (Query Fan-Out)</w:t>
            </w:r>
          </w:p>
        </w:tc>
        <w:tc>
          <w:tcPr>
            <w:tcW w:type="dxa" w:w="2520"/>
          </w:tcPr>
          <w:p>
            <w:r>
              <w:t>Canonical Core SQL View + APEX 24.2 Runtime / AI Inference Filters</w:t>
            </w:r>
          </w:p>
        </w:tc>
        <w:tc>
          <w:tcPr>
            <w:tcW w:type="dxa" w:w="2520"/>
          </w:tcPr>
          <w:p>
            <w:r>
              <w:t>AST Join-Graph Clustering (75-90% Report Count Reduction)</w:t>
            </w:r>
          </w:p>
        </w:tc>
      </w:tr>
    </w:tbl>
    <w:p>
      <w:pPr>
        <w:pStyle w:val="Heading2"/>
      </w:pPr>
      <w:r>
        <w:rPr>
          <w:color w:val="006884"/>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Do we still need Oracle WebLogic Server licenses after converting Oracle Forms to APEX?   [Evaluator Score: ___ / 10]</w:t>
      </w:r>
    </w:p>
    <w:p>
      <w:pPr>
        <w:pStyle w:val="ListBullet"/>
      </w:pPr>
      <w:r>
        <w:rPr>
          <w:b/>
        </w:rPr>
        <w:t xml:space="preserve">Reference Evaluation Benchmark: </w:t>
      </w:r>
      <w:r>
        <w:t>No. Oracle APEX and Oracle REST Data Services (ORDS) are included at no extra license cost with your existing Oracle Database license and run on Apache Tomcat or standalone Jetty, allowing you to terminate WebLogic Forms &amp; Reports licensing completely.</w:t>
      </w:r>
    </w:p>
    <w:p>
      <w:pPr>
        <w:pStyle w:val="ListBullet"/>
      </w:pPr>
      <w:r>
        <w:rPr>
          <w:b/>
        </w:rPr>
        <w:t xml:space="preserve">Vendor Written Response: </w:t>
      </w:r>
      <w:r>
        <w:t>[Bidder to insert concrete technical architecture and verifiable production proof here]</w:t>
      </w:r>
    </w:p>
    <w:p>
      <w:r>
        <w:rPr>
          <w:b/>
        </w:rPr>
        <w:t>Vendor Question 2: Will our high-speed keyboard data-entry users lose productivity moving from Forms to a browser?   [Evaluator Score: ___ / 10]</w:t>
      </w:r>
    </w:p>
    <w:p>
      <w:pPr>
        <w:pStyle w:val="ListBullet"/>
      </w:pPr>
      <w:r>
        <w:rPr>
          <w:b/>
        </w:rPr>
        <w:t xml:space="preserve">Reference Evaluation Benchmark: </w:t>
      </w:r>
      <w:r>
        <w:t>No. We configure APEX Interactive Grids with custom keyboard shortcuts, tab-order control, and inline modal LOVs so keyboard-centric accounting and operations clerks can enter rows without touching the mouse.</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includes the complete Trigger-to-APEX mapping table (covering all 45+ Oracle Forms triggers), the WebLogic license termination checklist, and our automated FMB XML assessment workflow.</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006884"/>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82830"/>
          </w:tcPr>
          <w:p>
            <w:r>
              <w:rPr>
                <w:b/>
                <w:color w:val="FFFFFF"/>
                <w:sz w:val="19"/>
              </w:rPr>
              <w:t>Milestone / Phase</w:t>
            </w:r>
          </w:p>
        </w:tc>
        <w:tc>
          <w:tcPr>
            <w:tcW w:type="dxa" w:w="2520"/>
            <w:shd w:val="clear" w:color="auto" w:fill="182830"/>
          </w:tcPr>
          <w:p>
            <w:r>
              <w:rPr>
                <w:b/>
                <w:color w:val="FFFFFF"/>
                <w:sz w:val="19"/>
              </w:rPr>
              <w:t>Deliverable &amp; Acceptance Gate</w:t>
            </w:r>
          </w:p>
        </w:tc>
        <w:tc>
          <w:tcPr>
            <w:tcW w:type="dxa" w:w="2520"/>
            <w:shd w:val="clear" w:color="auto" w:fill="182830"/>
          </w:tcPr>
          <w:p>
            <w:r>
              <w:rPr>
                <w:b/>
                <w:color w:val="FFFFFF"/>
                <w:sz w:val="19"/>
              </w:rPr>
              <w:t>Fixed Fee (USD)</w:t>
            </w:r>
          </w:p>
        </w:tc>
        <w:tc>
          <w:tcPr>
            <w:tcW w:type="dxa" w:w="2520"/>
            <w:shd w:val="clear" w:color="auto" w:fill="182830"/>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(VNA-RFP-003)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VNA-RFP-003  |  https://oracle-forms-modernization.web.app/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